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2F674EB2" w:rsidR="00943E0D" w:rsidRPr="00F65616" w:rsidRDefault="00242C47" w:rsidP="00B74166">
      <w:pPr>
        <w:numPr>
          <w:ilvl w:val="0"/>
          <w:numId w:val="1"/>
        </w:numPr>
        <w:spacing w:line="360" w:lineRule="auto"/>
        <w:rPr>
          <w:rFonts w:ascii="Arial" w:hAnsi="Arial" w:cs="Arial"/>
          <w:color w:val="808080"/>
          <w:sz w:val="20"/>
          <w:szCs w:val="20"/>
        </w:rPr>
      </w:pPr>
      <w:r>
        <w:rPr>
          <w:rFonts w:ascii="Arial" w:hAnsi="Arial"/>
          <w:color w:val="808080"/>
          <w:sz w:val="20"/>
          <w:szCs w:val="20"/>
        </w:rPr>
        <w:t>Pocket systems are the easy way to magic away entire living spaces</w:t>
      </w:r>
    </w:p>
    <w:p w14:paraId="01003DB3" w14:textId="2CFD9D69" w:rsidR="00943E0D" w:rsidRPr="00F65616" w:rsidRDefault="00066376" w:rsidP="00B74166">
      <w:pPr>
        <w:numPr>
          <w:ilvl w:val="0"/>
          <w:numId w:val="1"/>
        </w:numPr>
        <w:spacing w:line="360" w:lineRule="auto"/>
        <w:rPr>
          <w:rFonts w:ascii="Arial" w:hAnsi="Arial" w:cs="Arial"/>
          <w:color w:val="808080"/>
          <w:sz w:val="20"/>
          <w:szCs w:val="20"/>
        </w:rPr>
      </w:pPr>
      <w:r>
        <w:rPr>
          <w:rFonts w:ascii="Arial" w:hAnsi="Arial"/>
          <w:color w:val="808080"/>
          <w:sz w:val="20"/>
          <w:szCs w:val="20"/>
        </w:rPr>
        <w:t>Easy-to-implement solution; no special construction needed</w:t>
      </w:r>
    </w:p>
    <w:p w14:paraId="4134F358" w14:textId="188C9E16" w:rsidR="003B6DB6" w:rsidRPr="00B15A7A" w:rsidRDefault="00AA01BF" w:rsidP="00B74166">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Manufacturer completes major part of assembly in workshop; error-free installation on site</w:t>
      </w:r>
    </w:p>
    <w:p w14:paraId="0B11C7AB" w14:textId="2915B7B2" w:rsidR="00183A51" w:rsidRPr="00B15A7A" w:rsidRDefault="00183A51" w:rsidP="00B74166">
      <w:pPr>
        <w:spacing w:line="360" w:lineRule="auto"/>
        <w:ind w:right="28"/>
        <w:rPr>
          <w:rFonts w:ascii="Arial" w:hAnsi="Arial" w:cs="Arial"/>
          <w:color w:val="767171"/>
          <w:sz w:val="20"/>
          <w:szCs w:val="20"/>
        </w:rPr>
      </w:pPr>
      <w:r>
        <w:rPr>
          <w:noProof/>
          <w:color w:val="2B579A"/>
          <w:shd w:val="clear" w:color="auto" w:fill="E6E6E6"/>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a="http://schemas.openxmlformats.org/drawingml/2006/main" xmlns:a14="http://schemas.microsoft.com/office/drawing/2010/main" xmlns:pic="http://schemas.openxmlformats.org/drawingml/2006/picture">
            <w:pict w14:anchorId="6631229F">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4C54760B" w:rsidR="1CED830D" w:rsidRPr="00D4455C" w:rsidRDefault="00AA01BF" w:rsidP="00B74166">
      <w:pPr>
        <w:spacing w:line="360" w:lineRule="auto"/>
        <w:rPr>
          <w:rFonts w:ascii="Arial" w:hAnsi="Arial" w:cs="Arial"/>
          <w:b/>
          <w:bCs/>
          <w:sz w:val="28"/>
          <w:szCs w:val="28"/>
        </w:rPr>
      </w:pPr>
      <w:r>
        <w:rPr>
          <w:rFonts w:ascii="Arial" w:hAnsi="Arial"/>
          <w:b/>
          <w:bCs/>
          <w:sz w:val="28"/>
          <w:szCs w:val="28"/>
        </w:rPr>
        <w:t>The answer to merging living spaces</w:t>
      </w:r>
    </w:p>
    <w:p w14:paraId="738416C4" w14:textId="17237167" w:rsidR="00183A51" w:rsidRPr="00C1454C" w:rsidRDefault="00306526" w:rsidP="00B74166">
      <w:pPr>
        <w:spacing w:line="360" w:lineRule="auto"/>
        <w:rPr>
          <w:rFonts w:ascii="Arial" w:hAnsi="Arial" w:cs="Arial"/>
          <w:b/>
          <w:bCs/>
        </w:rPr>
      </w:pPr>
      <w:r>
        <w:rPr>
          <w:rFonts w:ascii="Arial" w:hAnsi="Arial"/>
          <w:b/>
          <w:bCs/>
        </w:rPr>
        <w:t xml:space="preserve">Blum presents simple solution to magic away fitted furniture at </w:t>
      </w:r>
      <w:proofErr w:type="spellStart"/>
      <w:r>
        <w:rPr>
          <w:rFonts w:ascii="Arial" w:hAnsi="Arial"/>
          <w:b/>
          <w:bCs/>
          <w:i/>
        </w:rPr>
        <w:t>interzum</w:t>
      </w:r>
      <w:proofErr w:type="spellEnd"/>
    </w:p>
    <w:p w14:paraId="0866732D" w14:textId="77777777" w:rsidR="00B74166" w:rsidRDefault="00B74166" w:rsidP="00B74166">
      <w:pPr>
        <w:spacing w:line="360" w:lineRule="auto"/>
        <w:rPr>
          <w:rFonts w:ascii="Arial" w:hAnsi="Arial" w:cs="Arial"/>
          <w:color w:val="000000" w:themeColor="text1"/>
          <w:sz w:val="20"/>
          <w:szCs w:val="20"/>
        </w:rPr>
      </w:pPr>
    </w:p>
    <w:p w14:paraId="2D6A5BC2" w14:textId="4D210FC2" w:rsidR="00183A51" w:rsidRDefault="1CED830D" w:rsidP="00B74166">
      <w:pPr>
        <w:spacing w:line="360" w:lineRule="auto"/>
        <w:rPr>
          <w:rFonts w:ascii="Arial" w:hAnsi="Arial" w:cs="Arial"/>
          <w:b/>
          <w:bCs/>
          <w:color w:val="000000" w:themeColor="text1"/>
          <w:sz w:val="20"/>
          <w:szCs w:val="20"/>
        </w:rPr>
      </w:pPr>
      <w:r>
        <w:rPr>
          <w:rFonts w:ascii="Arial" w:hAnsi="Arial"/>
          <w:color w:val="000000" w:themeColor="text1"/>
          <w:sz w:val="20"/>
          <w:szCs w:val="20"/>
        </w:rPr>
        <w:t>Hoechst, Austria - May 2019.</w:t>
      </w:r>
      <w:r>
        <w:rPr>
          <w:rFonts w:ascii="Arial" w:hAnsi="Arial"/>
          <w:b/>
          <w:bCs/>
          <w:color w:val="000000" w:themeColor="text1"/>
          <w:sz w:val="20"/>
          <w:szCs w:val="20"/>
        </w:rPr>
        <w:t xml:space="preserve"> More and more people are merging their kitchen, dining and living space. The trend calls for smart solutions to conceal spaces that are not in use.  Blum’s new pocket systems are the answer. Doors of up to 2500 mm in height close off the space and conceal fitted furniture. They disappear into pockets when the space is in use. No special construction needed.</w:t>
      </w:r>
    </w:p>
    <w:p w14:paraId="5BE6CD7F" w14:textId="77777777" w:rsidR="00B74166" w:rsidRDefault="00B74166" w:rsidP="00B74166">
      <w:pPr>
        <w:spacing w:line="360" w:lineRule="auto"/>
        <w:rPr>
          <w:rFonts w:ascii="Arial" w:hAnsi="Arial" w:cs="Arial"/>
          <w:sz w:val="20"/>
          <w:szCs w:val="20"/>
        </w:rPr>
      </w:pPr>
    </w:p>
    <w:p w14:paraId="573DB171" w14:textId="406665EA" w:rsidR="681D871B" w:rsidRDefault="00880889" w:rsidP="00B74166">
      <w:pPr>
        <w:spacing w:line="360" w:lineRule="auto"/>
        <w:rPr>
          <w:rFonts w:ascii="Arial" w:hAnsi="Arial" w:cs="Arial"/>
          <w:sz w:val="20"/>
          <w:szCs w:val="20"/>
        </w:rPr>
      </w:pPr>
      <w:r>
        <w:rPr>
          <w:rFonts w:ascii="Arial" w:hAnsi="Arial"/>
          <w:sz w:val="20"/>
          <w:szCs w:val="20"/>
        </w:rPr>
        <w:t xml:space="preserve">Open plan concepts and ever smaller urban homes demand new furniture solutions. More and more people would like to conceal functional spaces such as fitted kitchens or home offices when they are not in use. Fittings specialist Blum has come up with a simple-to-use solution. Pocket systems consist of large doors that close off spaces that are not in use. When open, the doors disappear into narrow cabinets, or pockets. Doors open and close with supreme ease. Users can open doors with a single touch (with TIP-ON, for example) and then simply push them into the pocket.   They disappear out of the way and users are given easy access to furniture units.   A single touch again suffices to gently eject doors from the pocket. To close the space and restore elegance, simply press shut. Blum will be presenting three different applications at its </w:t>
      </w:r>
      <w:proofErr w:type="spellStart"/>
      <w:r>
        <w:rPr>
          <w:rFonts w:ascii="Arial" w:hAnsi="Arial"/>
          <w:i/>
          <w:sz w:val="20"/>
          <w:szCs w:val="20"/>
        </w:rPr>
        <w:t>interzum</w:t>
      </w:r>
      <w:proofErr w:type="spellEnd"/>
      <w:r>
        <w:rPr>
          <w:rFonts w:ascii="Arial" w:hAnsi="Arial"/>
          <w:sz w:val="20"/>
          <w:szCs w:val="20"/>
        </w:rPr>
        <w:t xml:space="preserve"> booth - for kitchens, utility rooms and bars, with and without handles, with different motion technologies and with single and double doors.</w:t>
      </w:r>
    </w:p>
    <w:p w14:paraId="3360A79D" w14:textId="77777777" w:rsidR="00B74166" w:rsidRPr="00C1454C" w:rsidRDefault="00B74166" w:rsidP="00B74166">
      <w:pPr>
        <w:spacing w:line="360" w:lineRule="auto"/>
        <w:rPr>
          <w:rFonts w:ascii="Arial" w:hAnsi="Arial" w:cs="Arial"/>
          <w:sz w:val="20"/>
          <w:szCs w:val="20"/>
        </w:rPr>
      </w:pPr>
    </w:p>
    <w:p w14:paraId="741956A3" w14:textId="265BC212" w:rsidR="001F0C33" w:rsidRDefault="001F0C33" w:rsidP="00B74166">
      <w:pPr>
        <w:spacing w:line="360" w:lineRule="auto"/>
        <w:rPr>
          <w:rFonts w:ascii="Arial" w:hAnsi="Arial"/>
          <w:sz w:val="20"/>
          <w:szCs w:val="20"/>
        </w:rPr>
      </w:pPr>
      <w:r>
        <w:rPr>
          <w:rFonts w:ascii="Arial" w:hAnsi="Arial"/>
          <w:b/>
          <w:bCs/>
          <w:sz w:val="20"/>
          <w:szCs w:val="20"/>
        </w:rPr>
        <w:t>Incredibly easy to assemble and install</w:t>
      </w:r>
      <w:r>
        <w:rPr>
          <w:rFonts w:ascii="Arial" w:hAnsi="Arial"/>
          <w:color w:val="000000" w:themeColor="text1"/>
          <w:sz w:val="20"/>
          <w:szCs w:val="20"/>
        </w:rPr>
        <w:br/>
      </w:r>
      <w:r>
        <w:rPr>
          <w:rFonts w:ascii="Arial" w:hAnsi="Arial"/>
          <w:sz w:val="20"/>
          <w:szCs w:val="20"/>
        </w:rPr>
        <w:t>Pocket systems by Blum bring great advantages to furniture design and assembly. No modifications need be made to the fitted furniture because the pocket systems (be it double or single door applications) are incorporated in their own narrow cabinets next to the furniture. There are no constraints on the design of the fitted furniture; there is no need to build an additional cabinet around the furniture. Another major advantage is that standard doors are used to conceal standard cabinets. Pocket systems by the Austrian manufacturer of fittings can be implemented with doors of up to 2500 mm in height, 800 mm in width and a weight of up to 35 kg. The pockets and doors are made and assembled by the manufacturer and then delivered to site, so installation is child’s play. Put up, align and mount pockets, install doors and track, carry out simple adjustments, that’s it. And disassembly is just as simple.</w:t>
      </w:r>
    </w:p>
    <w:p w14:paraId="293105B5" w14:textId="77777777" w:rsidR="0063262E" w:rsidRDefault="0063262E" w:rsidP="00B74166">
      <w:pPr>
        <w:spacing w:line="360" w:lineRule="auto"/>
        <w:rPr>
          <w:rFonts w:ascii="Arial" w:hAnsi="Arial" w:cs="Arial"/>
          <w:sz w:val="20"/>
          <w:szCs w:val="20"/>
        </w:rPr>
      </w:pPr>
    </w:p>
    <w:p w14:paraId="24D41017" w14:textId="751977C0" w:rsidR="00B74166" w:rsidRDefault="00B74166" w:rsidP="00B74166">
      <w:pPr>
        <w:spacing w:line="360" w:lineRule="auto"/>
        <w:rPr>
          <w:rFonts w:ascii="Arial" w:hAnsi="Arial" w:cs="Arial"/>
          <w:sz w:val="18"/>
          <w:szCs w:val="18"/>
        </w:rPr>
      </w:pPr>
      <w:r>
        <w:rPr>
          <w:rFonts w:ascii="Arial" w:hAnsi="Arial"/>
          <w:sz w:val="18"/>
          <w:szCs w:val="18"/>
        </w:rPr>
        <w:t xml:space="preserve">Number of characters: </w:t>
      </w:r>
      <w:r w:rsidR="000071DD">
        <w:rPr>
          <w:rFonts w:ascii="Arial" w:hAnsi="Arial"/>
          <w:sz w:val="18"/>
          <w:szCs w:val="18"/>
        </w:rPr>
        <w:t>2.442</w:t>
      </w:r>
      <w:r>
        <w:rPr>
          <w:rFonts w:ascii="Arial" w:hAnsi="Arial"/>
          <w:sz w:val="18"/>
          <w:szCs w:val="18"/>
        </w:rPr>
        <w:t xml:space="preserve"> (incl. spaces), number of words: </w:t>
      </w:r>
      <w:r w:rsidR="000071DD">
        <w:rPr>
          <w:rFonts w:ascii="Arial" w:hAnsi="Arial"/>
          <w:sz w:val="18"/>
          <w:szCs w:val="18"/>
        </w:rPr>
        <w:t>411</w:t>
      </w:r>
    </w:p>
    <w:p w14:paraId="2737D593" w14:textId="77777777" w:rsidR="00B74166" w:rsidRPr="00C1454C" w:rsidRDefault="00B74166" w:rsidP="00B74166">
      <w:pPr>
        <w:spacing w:line="360" w:lineRule="auto"/>
        <w:rPr>
          <w:rFonts w:ascii="Arial" w:hAnsi="Arial" w:cs="Arial"/>
          <w:sz w:val="20"/>
          <w:szCs w:val="20"/>
        </w:rPr>
      </w:pPr>
    </w:p>
    <w:p w14:paraId="3F7503CC" w14:textId="48E1F5E8" w:rsidR="00183A51" w:rsidRDefault="00183A51" w:rsidP="00B74166">
      <w:pPr>
        <w:keepLines/>
        <w:autoSpaceDE w:val="0"/>
        <w:autoSpaceDN w:val="0"/>
        <w:adjustRightInd w:val="0"/>
        <w:rPr>
          <w:rFonts w:ascii="Arial" w:hAnsi="Arial" w:cs="Arial"/>
          <w:sz w:val="20"/>
          <w:szCs w:val="20"/>
        </w:rPr>
      </w:pPr>
      <w:r w:rsidRPr="00224453">
        <w:rPr>
          <w:rFonts w:ascii="Arial" w:hAnsi="Arial" w:cs="Arial"/>
          <w:b/>
          <w:noProof/>
          <w:color w:val="2B579A"/>
          <w:sz w:val="28"/>
          <w:szCs w:val="28"/>
          <w:shd w:val="clear" w:color="auto" w:fill="E6E6E6"/>
        </w:rPr>
        <w:lastRenderedPageBreak/>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1" w:history="1">
        <w:r>
          <w:rPr>
            <w:rStyle w:val="Hyperlink"/>
            <w:rFonts w:ascii="Arial" w:hAnsi="Arial"/>
            <w:sz w:val="20"/>
            <w:szCs w:val="20"/>
          </w:rPr>
          <w:t>www.blum.com</w:t>
        </w:r>
      </w:hyperlink>
      <w:r>
        <w:rPr>
          <w:rFonts w:ascii="Arial" w:hAnsi="Arial"/>
          <w:sz w:val="20"/>
          <w:szCs w:val="20"/>
        </w:rPr>
        <w:br/>
      </w:r>
      <w:r w:rsidRPr="00641AEF">
        <w:rPr>
          <w:noProof/>
          <w:color w:val="2B579A"/>
          <w:shd w:val="clear" w:color="auto" w:fill="E6E6E6"/>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3"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shd w:val="clear" w:color="auto" w:fill="E6E6E6"/>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5"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color w:val="2B579A"/>
          <w:sz w:val="20"/>
          <w:szCs w:val="20"/>
          <w:shd w:val="clear" w:color="auto" w:fill="E6E6E6"/>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7" w:history="1">
        <w:r>
          <w:rPr>
            <w:rStyle w:val="Hyperlink"/>
            <w:rFonts w:ascii="Arial Hebrew Light" w:hAnsi="Arial Hebrew Light"/>
            <w:sz w:val="20"/>
            <w:szCs w:val="20"/>
          </w:rPr>
          <w:t>www.linkedin.com/company/julius-blum-gmbh</w:t>
        </w:r>
      </w:hyperlink>
    </w:p>
    <w:p w14:paraId="071F78D7" w14:textId="481626F2" w:rsidR="00183A51" w:rsidRPr="000071DD" w:rsidRDefault="00183A51" w:rsidP="00B74166">
      <w:pPr>
        <w:spacing w:line="360" w:lineRule="auto"/>
        <w:rPr>
          <w:rFonts w:ascii="Arial" w:hAnsi="Arial" w:cs="Arial"/>
          <w:sz w:val="18"/>
          <w:szCs w:val="18"/>
        </w:rPr>
      </w:pP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28CA644C" w:rsidR="00183A51" w:rsidRPr="000071DD" w:rsidRDefault="00D55DE9" w:rsidP="00B74166">
            <w:pPr>
              <w:spacing w:line="360" w:lineRule="auto"/>
              <w:rPr>
                <w:rFonts w:ascii="Arial" w:hAnsi="Arial" w:cs="Arial"/>
                <w:color w:val="000000"/>
                <w:sz w:val="18"/>
                <w:szCs w:val="18"/>
              </w:rPr>
            </w:pPr>
            <w:r>
              <w:rPr>
                <w:rFonts w:ascii="Arial" w:hAnsi="Arial" w:cs="Arial"/>
                <w:noProof/>
                <w:color w:val="000000"/>
                <w:sz w:val="18"/>
                <w:szCs w:val="18"/>
              </w:rPr>
              <w:drawing>
                <wp:inline distT="0" distB="0" distL="0" distR="0" wp14:anchorId="777677BF" wp14:editId="18722B20">
                  <wp:extent cx="2160000" cy="187427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m_Pocketsystem0002.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60000" cy="1874278"/>
                          </a:xfrm>
                          <a:prstGeom prst="rect">
                            <a:avLst/>
                          </a:prstGeom>
                        </pic:spPr>
                      </pic:pic>
                    </a:graphicData>
                  </a:graphic>
                </wp:inline>
              </w:drawing>
            </w:r>
          </w:p>
        </w:tc>
        <w:tc>
          <w:tcPr>
            <w:tcW w:w="4206" w:type="dxa"/>
            <w:shd w:val="clear" w:color="auto" w:fill="auto"/>
          </w:tcPr>
          <w:p w14:paraId="7810D1B1" w14:textId="57782FF1" w:rsidR="00E627BD" w:rsidRDefault="00183A51" w:rsidP="00B74166">
            <w:pPr>
              <w:spacing w:line="360" w:lineRule="auto"/>
              <w:rPr>
                <w:rFonts w:ascii="Arial" w:hAnsi="Arial" w:cs="Arial"/>
                <w:color w:val="000000"/>
                <w:sz w:val="18"/>
                <w:szCs w:val="18"/>
              </w:rPr>
            </w:pPr>
            <w:r>
              <w:rPr>
                <w:rFonts w:ascii="Arial" w:hAnsi="Arial"/>
                <w:color w:val="000000"/>
                <w:sz w:val="18"/>
                <w:szCs w:val="18"/>
              </w:rPr>
              <w:t>(Photo: Blum_</w:t>
            </w:r>
            <w:r w:rsidR="00D55DE9" w:rsidRPr="00D55DE9">
              <w:rPr>
                <w:rFonts w:ascii="Arial" w:hAnsi="Arial"/>
                <w:color w:val="000000"/>
                <w:sz w:val="18"/>
                <w:szCs w:val="18"/>
              </w:rPr>
              <w:t>Pocketsystem0002</w:t>
            </w:r>
            <w:r>
              <w:rPr>
                <w:rFonts w:ascii="Arial" w:hAnsi="Arial"/>
                <w:color w:val="000000"/>
                <w:sz w:val="18"/>
                <w:szCs w:val="18"/>
              </w:rPr>
              <w:t>)</w:t>
            </w:r>
          </w:p>
          <w:p w14:paraId="7F335C6B" w14:textId="77777777" w:rsidR="00B74166" w:rsidRPr="000071DD" w:rsidRDefault="00B74166" w:rsidP="00B74166">
            <w:pPr>
              <w:spacing w:line="360" w:lineRule="auto"/>
              <w:rPr>
                <w:rFonts w:ascii="Arial" w:hAnsi="Arial" w:cs="Arial"/>
                <w:color w:val="000000"/>
                <w:sz w:val="18"/>
                <w:szCs w:val="18"/>
                <w:lang w:val="en-US"/>
              </w:rPr>
            </w:pPr>
          </w:p>
          <w:p w14:paraId="38685872" w14:textId="73993112" w:rsidR="00183A51" w:rsidRPr="00C85871" w:rsidRDefault="00E72CB0" w:rsidP="00B74166">
            <w:pPr>
              <w:spacing w:line="360" w:lineRule="auto"/>
              <w:rPr>
                <w:rFonts w:ascii="Arial" w:hAnsi="Arial" w:cs="Arial"/>
                <w:color w:val="000000"/>
                <w:sz w:val="18"/>
                <w:szCs w:val="18"/>
              </w:rPr>
            </w:pPr>
            <w:r>
              <w:rPr>
                <w:rFonts w:ascii="Arial" w:hAnsi="Arial"/>
                <w:color w:val="000000"/>
                <w:sz w:val="18"/>
                <w:szCs w:val="18"/>
              </w:rPr>
              <w:t>Blum’s new pocket systems magic away entire living areas and add functionality to space</w:t>
            </w:r>
          </w:p>
        </w:tc>
        <w:bookmarkStart w:id="0" w:name="_GoBack"/>
        <w:bookmarkEnd w:id="0"/>
      </w:tr>
      <w:tr w:rsidR="00612FEE" w:rsidRPr="00E62D87" w14:paraId="323663A9" w14:textId="77777777" w:rsidTr="00E627BD">
        <w:trPr>
          <w:cantSplit/>
        </w:trPr>
        <w:tc>
          <w:tcPr>
            <w:tcW w:w="4282" w:type="dxa"/>
            <w:shd w:val="clear" w:color="auto" w:fill="auto"/>
          </w:tcPr>
          <w:p w14:paraId="1129780B" w14:textId="7855AB9B" w:rsidR="00612FEE" w:rsidRPr="000071DD" w:rsidRDefault="00D55DE9" w:rsidP="00B74166">
            <w:pPr>
              <w:spacing w:line="360" w:lineRule="auto"/>
              <w:rPr>
                <w:rFonts w:ascii="Arial" w:hAnsi="Arial" w:cs="Arial"/>
                <w:color w:val="000000"/>
                <w:sz w:val="18"/>
                <w:szCs w:val="18"/>
                <w:lang w:val="en-US"/>
              </w:rPr>
            </w:pPr>
            <w:r>
              <w:rPr>
                <w:rFonts w:ascii="Arial" w:hAnsi="Arial" w:cs="Arial"/>
                <w:noProof/>
                <w:color w:val="000000"/>
                <w:sz w:val="18"/>
                <w:szCs w:val="18"/>
                <w:lang w:val="en-US"/>
              </w:rPr>
              <w:drawing>
                <wp:inline distT="0" distB="0" distL="0" distR="0" wp14:anchorId="09A558B1" wp14:editId="2DF663DF">
                  <wp:extent cx="2160000" cy="1769794"/>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lum_Pocketsystem0005.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60000" cy="1769794"/>
                          </a:xfrm>
                          <a:prstGeom prst="rect">
                            <a:avLst/>
                          </a:prstGeom>
                        </pic:spPr>
                      </pic:pic>
                    </a:graphicData>
                  </a:graphic>
                </wp:inline>
              </w:drawing>
            </w:r>
          </w:p>
        </w:tc>
        <w:tc>
          <w:tcPr>
            <w:tcW w:w="4206" w:type="dxa"/>
            <w:shd w:val="clear" w:color="auto" w:fill="auto"/>
          </w:tcPr>
          <w:p w14:paraId="41AC7E44" w14:textId="5274695E" w:rsidR="007A2F4E" w:rsidRDefault="007A2F4E" w:rsidP="00B74166">
            <w:pPr>
              <w:spacing w:line="360" w:lineRule="auto"/>
              <w:rPr>
                <w:rFonts w:ascii="Arial" w:hAnsi="Arial" w:cs="Arial"/>
                <w:color w:val="000000"/>
                <w:sz w:val="18"/>
                <w:szCs w:val="18"/>
              </w:rPr>
            </w:pPr>
            <w:r>
              <w:rPr>
                <w:rFonts w:ascii="Arial" w:hAnsi="Arial"/>
                <w:color w:val="000000"/>
                <w:sz w:val="18"/>
                <w:szCs w:val="18"/>
              </w:rPr>
              <w:t>(Photo: Blum_</w:t>
            </w:r>
            <w:r w:rsidR="00D55DE9" w:rsidRPr="00D55DE9">
              <w:rPr>
                <w:rFonts w:ascii="Arial" w:hAnsi="Arial"/>
                <w:color w:val="000000"/>
                <w:sz w:val="18"/>
                <w:szCs w:val="18"/>
              </w:rPr>
              <w:t>Pocketsystem000</w:t>
            </w:r>
            <w:r w:rsidR="00D55DE9">
              <w:rPr>
                <w:rFonts w:ascii="Arial" w:hAnsi="Arial"/>
                <w:color w:val="000000"/>
                <w:sz w:val="18"/>
                <w:szCs w:val="18"/>
              </w:rPr>
              <w:t>5</w:t>
            </w:r>
            <w:r>
              <w:rPr>
                <w:rFonts w:ascii="Arial" w:hAnsi="Arial"/>
                <w:color w:val="000000"/>
                <w:sz w:val="18"/>
                <w:szCs w:val="18"/>
              </w:rPr>
              <w:t>)</w:t>
            </w:r>
          </w:p>
          <w:p w14:paraId="3A79AA2B" w14:textId="77777777" w:rsidR="00B74166" w:rsidRPr="000071DD" w:rsidRDefault="00B74166" w:rsidP="00B74166">
            <w:pPr>
              <w:spacing w:line="360" w:lineRule="auto"/>
              <w:rPr>
                <w:rFonts w:ascii="Arial" w:hAnsi="Arial" w:cs="Arial"/>
                <w:color w:val="000000"/>
                <w:sz w:val="18"/>
                <w:szCs w:val="18"/>
                <w:lang w:val="en-US"/>
              </w:rPr>
            </w:pPr>
          </w:p>
          <w:p w14:paraId="7EEF0241" w14:textId="2DB627E1" w:rsidR="00612FEE" w:rsidRPr="00C85871" w:rsidRDefault="0092789B" w:rsidP="00B74166">
            <w:pPr>
              <w:spacing w:line="360" w:lineRule="auto"/>
              <w:rPr>
                <w:rFonts w:ascii="Arial" w:hAnsi="Arial" w:cs="Arial"/>
                <w:color w:val="000000"/>
                <w:sz w:val="18"/>
                <w:szCs w:val="18"/>
              </w:rPr>
            </w:pPr>
            <w:r>
              <w:rPr>
                <w:rFonts w:ascii="Arial" w:hAnsi="Arial"/>
                <w:color w:val="000000"/>
                <w:sz w:val="18"/>
                <w:szCs w:val="18"/>
              </w:rPr>
              <w:t>The new system by Blum elegantly conceals fitted kitchens</w:t>
            </w:r>
          </w:p>
        </w:tc>
      </w:tr>
    </w:tbl>
    <w:p w14:paraId="42C8DED5" w14:textId="56FC8403" w:rsidR="00183A51" w:rsidRDefault="00183A51" w:rsidP="00B74166">
      <w:pPr>
        <w:spacing w:line="360" w:lineRule="auto"/>
        <w:rPr>
          <w:rFonts w:ascii="Arial" w:hAnsi="Arial" w:cs="Arial"/>
          <w:sz w:val="18"/>
          <w:szCs w:val="18"/>
        </w:rPr>
      </w:pPr>
      <w:r>
        <w:rPr>
          <w:rFonts w:ascii="Arial" w:hAnsi="Arial"/>
          <w:b/>
          <w:sz w:val="18"/>
          <w:szCs w:val="18"/>
        </w:rPr>
        <w:t>Reference number:</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2019_Pocketsysteme</w:t>
      </w:r>
    </w:p>
    <w:p w14:paraId="6198AA89" w14:textId="77777777" w:rsidR="00B74166" w:rsidRDefault="00B74166" w:rsidP="00B74166">
      <w:pPr>
        <w:spacing w:line="360" w:lineRule="auto"/>
        <w:rPr>
          <w:rFonts w:ascii="Arial" w:hAnsi="Arial" w:cs="Arial"/>
          <w:b/>
          <w:bCs/>
          <w:sz w:val="20"/>
          <w:szCs w:val="20"/>
        </w:rPr>
      </w:pPr>
    </w:p>
    <w:p w14:paraId="2F197629" w14:textId="68821626" w:rsidR="00183A51" w:rsidRDefault="00183A51" w:rsidP="00B74166">
      <w:pPr>
        <w:spacing w:line="360" w:lineRule="auto"/>
        <w:rPr>
          <w:rFonts w:ascii="Arial" w:hAnsi="Arial" w:cs="Arial"/>
          <w:b/>
          <w:bCs/>
          <w:sz w:val="20"/>
          <w:szCs w:val="20"/>
        </w:rPr>
      </w:pPr>
      <w:r>
        <w:rPr>
          <w:rFonts w:ascii="Arial" w:hAnsi="Arial"/>
          <w:b/>
          <w:bCs/>
          <w:sz w:val="20"/>
          <w:szCs w:val="20"/>
        </w:rPr>
        <w:t>For questions please contact:</w:t>
      </w:r>
    </w:p>
    <w:p w14:paraId="7ED6C221" w14:textId="63C5262D" w:rsidR="00183A51" w:rsidRPr="000071DD" w:rsidRDefault="3877935C" w:rsidP="00B74166">
      <w:pPr>
        <w:spacing w:line="360" w:lineRule="auto"/>
        <w:rPr>
          <w:rFonts w:ascii="Arial" w:hAnsi="Arial" w:cs="Arial"/>
          <w:sz w:val="20"/>
          <w:szCs w:val="20"/>
          <w:lang w:val="de-AT"/>
        </w:rPr>
      </w:pPr>
      <w:r w:rsidRPr="000071DD">
        <w:rPr>
          <w:rFonts w:ascii="Arial" w:hAnsi="Arial"/>
          <w:sz w:val="20"/>
          <w:szCs w:val="20"/>
          <w:lang w:val="de-AT"/>
        </w:rPr>
        <w:t xml:space="preserve">Stefan Baumann: T +43 5578 705-2605; E </w:t>
      </w:r>
      <w:hyperlink r:id="rId20">
        <w:r w:rsidRPr="000071DD">
          <w:rPr>
            <w:rStyle w:val="Hyperlink"/>
            <w:rFonts w:ascii="Arial" w:hAnsi="Arial"/>
            <w:sz w:val="20"/>
            <w:szCs w:val="20"/>
            <w:lang w:val="de-AT"/>
          </w:rPr>
          <w:t>presseinfo@blum.com</w:t>
        </w:r>
      </w:hyperlink>
    </w:p>
    <w:p w14:paraId="0FE277E2" w14:textId="77777777" w:rsidR="00183A51" w:rsidRPr="000071DD" w:rsidRDefault="00183A51" w:rsidP="00B74166">
      <w:pPr>
        <w:spacing w:line="360" w:lineRule="auto"/>
        <w:rPr>
          <w:rFonts w:ascii="Arial" w:hAnsi="Arial" w:cs="Arial"/>
          <w:sz w:val="20"/>
          <w:szCs w:val="20"/>
          <w:lang w:val="de-AT"/>
        </w:rPr>
      </w:pPr>
      <w:r w:rsidRPr="000071DD">
        <w:rPr>
          <w:rFonts w:ascii="Arial" w:hAnsi="Arial"/>
          <w:sz w:val="20"/>
          <w:szCs w:val="20"/>
          <w:lang w:val="de-AT"/>
        </w:rPr>
        <w:t>Julius Blum GmbH</w:t>
      </w:r>
      <w:r w:rsidRPr="000071DD">
        <w:rPr>
          <w:rFonts w:ascii="Arial" w:hAnsi="Arial"/>
          <w:sz w:val="20"/>
          <w:szCs w:val="20"/>
          <w:lang w:val="de-AT"/>
        </w:rPr>
        <w:br/>
        <w:t>Industriestr. 1</w:t>
      </w:r>
      <w:r w:rsidRPr="000071DD">
        <w:rPr>
          <w:rFonts w:ascii="Arial" w:hAnsi="Arial"/>
          <w:sz w:val="20"/>
          <w:szCs w:val="20"/>
          <w:lang w:val="de-AT"/>
        </w:rPr>
        <w:br/>
        <w:t>6973 Hoechst, Austria</w:t>
      </w:r>
      <w:bookmarkStart w:id="1" w:name="_Hlk516056811"/>
    </w:p>
    <w:p w14:paraId="1A12066E" w14:textId="77777777" w:rsidR="00B74166" w:rsidRPr="000071DD" w:rsidRDefault="00B74166" w:rsidP="00B74166">
      <w:pPr>
        <w:spacing w:line="360" w:lineRule="auto"/>
        <w:rPr>
          <w:rFonts w:ascii="Arial" w:hAnsi="Arial" w:cs="Arial"/>
          <w:b/>
          <w:sz w:val="20"/>
          <w:szCs w:val="20"/>
          <w:lang w:val="de-AT"/>
        </w:rPr>
      </w:pPr>
    </w:p>
    <w:p w14:paraId="7E1DD15F" w14:textId="38D337D7" w:rsidR="00183A51" w:rsidRDefault="00183A51" w:rsidP="00B74166">
      <w:pPr>
        <w:spacing w:line="360" w:lineRule="auto"/>
        <w:rPr>
          <w:rFonts w:ascii="Arial" w:hAnsi="Arial" w:cs="Arial"/>
          <w:color w:val="0000FF"/>
          <w:spacing w:val="3"/>
          <w:sz w:val="20"/>
          <w:szCs w:val="20"/>
          <w:u w:val="single"/>
        </w:rPr>
      </w:pPr>
      <w:r>
        <w:rPr>
          <w:rFonts w:ascii="Arial" w:hAnsi="Arial"/>
          <w:b/>
          <w:sz w:val="20"/>
          <w:szCs w:val="20"/>
        </w:rPr>
        <w:t>More press releases and digital press packs</w:t>
      </w:r>
      <w:r>
        <w:rPr>
          <w:rFonts w:ascii="Arial" w:hAnsi="Arial"/>
          <w:sz w:val="20"/>
          <w:szCs w:val="20"/>
        </w:rPr>
        <w:t xml:space="preserve"> at</w:t>
      </w:r>
      <w:r>
        <w:rPr>
          <w:rFonts w:ascii="Arial" w:hAnsi="Arial"/>
          <w:b/>
          <w:sz w:val="20"/>
          <w:szCs w:val="20"/>
        </w:rPr>
        <w:t xml:space="preserve"> </w:t>
      </w:r>
      <w:hyperlink r:id="rId21" w:history="1">
        <w:r>
          <w:rPr>
            <w:rStyle w:val="Hyperlink"/>
            <w:rFonts w:ascii="Arial" w:hAnsi="Arial"/>
            <w:sz w:val="20"/>
            <w:szCs w:val="20"/>
          </w:rPr>
          <w:t>https://www.blum.com/at/de/unternehmen/presse/</w:t>
        </w:r>
      </w:hyperlink>
    </w:p>
    <w:p w14:paraId="58F61329" w14:textId="408D5CD6" w:rsidR="00183A51" w:rsidRDefault="00183A51" w:rsidP="00B74166">
      <w:pPr>
        <w:spacing w:line="360" w:lineRule="auto"/>
        <w:rPr>
          <w:rFonts w:ascii="Arial" w:hAnsi="Arial" w:cs="Arial"/>
          <w:sz w:val="20"/>
          <w:szCs w:val="20"/>
        </w:rPr>
      </w:pPr>
      <w:r>
        <w:rPr>
          <w:rFonts w:ascii="Arial" w:hAnsi="Arial"/>
          <w:b/>
          <w:sz w:val="20"/>
          <w:szCs w:val="20"/>
        </w:rPr>
        <w:t>Photos:</w:t>
      </w:r>
      <w:r>
        <w:rPr>
          <w:rFonts w:ascii="Arial" w:hAnsi="Arial"/>
          <w:sz w:val="20"/>
          <w:szCs w:val="20"/>
        </w:rPr>
        <w:t xml:space="preserve"> Free for publication (please cite source)</w:t>
      </w:r>
      <w:bookmarkEnd w:id="1"/>
    </w:p>
    <w:p w14:paraId="0A2F6466" w14:textId="77777777" w:rsidR="00B74166" w:rsidRDefault="00B74166" w:rsidP="00B74166">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B74166">
            <w:pPr>
              <w:spacing w:line="360" w:lineRule="auto"/>
              <w:rPr>
                <w:rFonts w:ascii="Arial" w:hAnsi="Arial" w:cs="Arial"/>
                <w:b/>
                <w:sz w:val="20"/>
                <w:szCs w:val="20"/>
              </w:rPr>
            </w:pPr>
            <w:r>
              <w:rPr>
                <w:rFonts w:ascii="Arial" w:hAnsi="Arial"/>
                <w:b/>
                <w:sz w:val="20"/>
                <w:szCs w:val="20"/>
              </w:rPr>
              <w:lastRenderedPageBreak/>
              <w:t>JULIUS BLUM GMBH</w:t>
            </w:r>
          </w:p>
          <w:p w14:paraId="75ABA735" w14:textId="77777777" w:rsidR="00183A51" w:rsidRPr="006D1653" w:rsidRDefault="00183A51" w:rsidP="00B74166">
            <w:pPr>
              <w:spacing w:line="360" w:lineRule="auto"/>
              <w:rPr>
                <w:rFonts w:ascii="Arial" w:hAnsi="Arial" w:cs="Arial"/>
                <w:b/>
                <w:sz w:val="20"/>
                <w:szCs w:val="20"/>
              </w:rPr>
            </w:pPr>
            <w:r>
              <w:rPr>
                <w:rFonts w:ascii="Arial" w:hAnsi="Arial"/>
                <w:b/>
                <w:sz w:val="20"/>
                <w:szCs w:val="20"/>
              </w:rPr>
              <w:t xml:space="preserve">Manufacturer and distributor of furniture fittings: </w:t>
            </w:r>
          </w:p>
          <w:p w14:paraId="553A8B12" w14:textId="77777777" w:rsidR="00183A51" w:rsidRPr="006D1653" w:rsidRDefault="00183A51" w:rsidP="00B74166">
            <w:pPr>
              <w:spacing w:line="360" w:lineRule="auto"/>
              <w:rPr>
                <w:rFonts w:ascii="Arial" w:hAnsi="Arial" w:cs="Arial"/>
                <w:b/>
                <w:sz w:val="20"/>
                <w:szCs w:val="20"/>
              </w:rPr>
            </w:pPr>
            <w:r>
              <w:rPr>
                <w:rFonts w:ascii="Arial" w:hAnsi="Arial"/>
                <w:sz w:val="20"/>
                <w:szCs w:val="20"/>
              </w:rPr>
              <w:t>Lift, hinge, pull-out and motion technologies supported by assembly devices and e-services</w:t>
            </w:r>
          </w:p>
          <w:p w14:paraId="41F62441" w14:textId="77777777" w:rsidR="00183A51" w:rsidRPr="006D1653" w:rsidRDefault="00183A51" w:rsidP="00B74166">
            <w:pPr>
              <w:spacing w:line="360" w:lineRule="auto"/>
              <w:rPr>
                <w:rFonts w:ascii="Arial" w:hAnsi="Arial" w:cs="Arial"/>
                <w:b/>
                <w:sz w:val="20"/>
                <w:szCs w:val="20"/>
              </w:rPr>
            </w:pPr>
            <w:r>
              <w:rPr>
                <w:rFonts w:ascii="Arial" w:hAnsi="Arial"/>
                <w:b/>
                <w:sz w:val="20"/>
                <w:szCs w:val="20"/>
              </w:rPr>
              <w:t xml:space="preserve">Production sites: </w:t>
            </w:r>
            <w:r>
              <w:rPr>
                <w:rFonts w:ascii="Arial" w:hAnsi="Arial"/>
                <w:sz w:val="20"/>
                <w:szCs w:val="20"/>
              </w:rPr>
              <w:t>8 plants in Vorarlberg</w:t>
            </w:r>
            <w:r>
              <w:rPr>
                <w:rFonts w:ascii="Arial" w:hAnsi="Arial"/>
                <w:b/>
                <w:sz w:val="20"/>
                <w:szCs w:val="20"/>
              </w:rPr>
              <w:t xml:space="preserve">, </w:t>
            </w:r>
            <w:r>
              <w:rPr>
                <w:rFonts w:ascii="Arial" w:hAnsi="Arial"/>
                <w:sz w:val="20"/>
                <w:szCs w:val="20"/>
              </w:rPr>
              <w:t>additional sites in the USA, Brazil and Poland</w:t>
            </w:r>
          </w:p>
          <w:p w14:paraId="1AD9AEFA" w14:textId="77777777" w:rsidR="00183A51" w:rsidRPr="006D1653" w:rsidRDefault="00183A51" w:rsidP="00B74166">
            <w:pPr>
              <w:spacing w:line="360" w:lineRule="auto"/>
              <w:rPr>
                <w:rFonts w:ascii="Arial" w:hAnsi="Arial" w:cs="Arial"/>
                <w:b/>
                <w:sz w:val="20"/>
                <w:szCs w:val="20"/>
              </w:rPr>
            </w:pPr>
            <w:r>
              <w:rPr>
                <w:rFonts w:ascii="Arial" w:hAnsi="Arial"/>
                <w:b/>
                <w:sz w:val="20"/>
                <w:szCs w:val="20"/>
              </w:rPr>
              <w:t>Employees:</w:t>
            </w:r>
            <w:r>
              <w:rPr>
                <w:rFonts w:ascii="Arial" w:hAnsi="Arial"/>
                <w:sz w:val="20"/>
                <w:szCs w:val="20"/>
              </w:rPr>
              <w:t xml:space="preserve"> 7,600 worldwide, 5,800 in Vorarlberg</w:t>
            </w:r>
          </w:p>
          <w:p w14:paraId="2C1A6CBC" w14:textId="77777777" w:rsidR="00183A51" w:rsidRPr="006D1653" w:rsidRDefault="00183A51" w:rsidP="00B74166">
            <w:pPr>
              <w:spacing w:line="360" w:lineRule="auto"/>
              <w:rPr>
                <w:rFonts w:ascii="Arial" w:hAnsi="Arial" w:cs="Arial"/>
                <w:sz w:val="20"/>
                <w:szCs w:val="20"/>
              </w:rPr>
            </w:pPr>
            <w:r>
              <w:rPr>
                <w:rFonts w:ascii="Arial" w:hAnsi="Arial"/>
                <w:b/>
                <w:sz w:val="20"/>
                <w:szCs w:val="20"/>
              </w:rPr>
              <w:t xml:space="preserve">Turnover in the 2017/2018 financial year: </w:t>
            </w:r>
            <w:r>
              <w:rPr>
                <w:rFonts w:ascii="Arial" w:hAnsi="Arial"/>
                <w:sz w:val="20"/>
                <w:szCs w:val="20"/>
              </w:rPr>
              <w:t>1,839.42 mill. euros</w:t>
            </w:r>
          </w:p>
          <w:p w14:paraId="0CCA3FD1" w14:textId="77777777" w:rsidR="00183A51" w:rsidRPr="006D1653" w:rsidRDefault="00183A51" w:rsidP="00B74166">
            <w:pPr>
              <w:spacing w:line="360" w:lineRule="auto"/>
              <w:rPr>
                <w:rFonts w:ascii="Arial" w:hAnsi="Arial" w:cs="Arial"/>
                <w:b/>
                <w:sz w:val="20"/>
                <w:szCs w:val="20"/>
              </w:rPr>
            </w:pPr>
            <w:r>
              <w:rPr>
                <w:rFonts w:ascii="Arial" w:hAnsi="Arial"/>
                <w:b/>
                <w:sz w:val="20"/>
                <w:szCs w:val="20"/>
              </w:rPr>
              <w:t>Share of foreign sales:</w:t>
            </w:r>
            <w:r>
              <w:rPr>
                <w:rFonts w:ascii="Arial" w:hAnsi="Arial"/>
                <w:sz w:val="20"/>
                <w:szCs w:val="20"/>
              </w:rPr>
              <w:t xml:space="preserve"> 97%</w:t>
            </w:r>
          </w:p>
          <w:p w14:paraId="45FEEE65" w14:textId="77777777" w:rsidR="00183A51" w:rsidRPr="006D1653" w:rsidRDefault="00183A51" w:rsidP="00B74166">
            <w:pPr>
              <w:spacing w:line="360" w:lineRule="auto"/>
              <w:rPr>
                <w:rFonts w:ascii="Arial" w:hAnsi="Arial" w:cs="Arial"/>
                <w:sz w:val="20"/>
                <w:szCs w:val="20"/>
              </w:rPr>
            </w:pPr>
            <w:r>
              <w:rPr>
                <w:rFonts w:ascii="Arial" w:hAnsi="Arial"/>
                <w:b/>
                <w:sz w:val="20"/>
                <w:szCs w:val="20"/>
              </w:rPr>
              <w:t>Subsidiaries and representative offices:</w:t>
            </w:r>
            <w:r>
              <w:rPr>
                <w:rFonts w:ascii="Arial" w:hAnsi="Arial"/>
                <w:sz w:val="20"/>
                <w:szCs w:val="20"/>
              </w:rPr>
              <w:t xml:space="preserve"> 30 </w:t>
            </w:r>
          </w:p>
          <w:p w14:paraId="600C7EBE" w14:textId="77777777" w:rsidR="00183A51" w:rsidRPr="006D1653" w:rsidRDefault="00183A51" w:rsidP="00B74166">
            <w:pPr>
              <w:spacing w:line="360" w:lineRule="auto"/>
              <w:rPr>
                <w:rFonts w:ascii="Arial" w:hAnsi="Arial" w:cs="Arial"/>
                <w:sz w:val="20"/>
                <w:szCs w:val="20"/>
              </w:rPr>
            </w:pPr>
            <w:r>
              <w:rPr>
                <w:rFonts w:ascii="Arial" w:hAnsi="Arial"/>
                <w:b/>
                <w:sz w:val="20"/>
                <w:szCs w:val="20"/>
              </w:rPr>
              <w:t>Worldwide deliveries:</w:t>
            </w:r>
            <w:r>
              <w:rPr>
                <w:rFonts w:ascii="Arial" w:hAnsi="Arial"/>
                <w:sz w:val="20"/>
                <w:szCs w:val="20"/>
              </w:rPr>
              <w:t xml:space="preserve"> More than 120 markets around the globe </w:t>
            </w:r>
          </w:p>
          <w:p w14:paraId="5A6727FF" w14:textId="77777777" w:rsidR="00183A51" w:rsidRPr="006D1653" w:rsidRDefault="00183A51" w:rsidP="00B74166">
            <w:pPr>
              <w:spacing w:line="360" w:lineRule="auto"/>
              <w:rPr>
                <w:rFonts w:ascii="Arial" w:hAnsi="Arial" w:cs="Arial"/>
                <w:i/>
                <w:sz w:val="20"/>
                <w:szCs w:val="20"/>
              </w:rPr>
            </w:pPr>
            <w:r>
              <w:rPr>
                <w:rFonts w:ascii="Arial" w:hAnsi="Arial"/>
                <w:i/>
                <w:sz w:val="20"/>
                <w:szCs w:val="20"/>
              </w:rPr>
              <w:t>As of: 1 July 2018</w:t>
            </w:r>
          </w:p>
        </w:tc>
      </w:tr>
    </w:tbl>
    <w:p w14:paraId="4E47C1E7" w14:textId="6E5AE8D4" w:rsidR="007F5A72" w:rsidRDefault="007F5A72" w:rsidP="00B74166">
      <w:pPr>
        <w:spacing w:line="360" w:lineRule="auto"/>
      </w:pPr>
    </w:p>
    <w:sectPr w:rsidR="007F5A72" w:rsidSect="00BE0218">
      <w:headerReference w:type="even" r:id="rId22"/>
      <w:footerReference w:type="default" r:id="rId23"/>
      <w:headerReference w:type="first" r:id="rId24"/>
      <w:footerReference w:type="first" r:id="rId25"/>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99B9F" w14:textId="77777777" w:rsidR="00381250" w:rsidRDefault="00381250">
      <w:r>
        <w:separator/>
      </w:r>
    </w:p>
  </w:endnote>
  <w:endnote w:type="continuationSeparator" w:id="0">
    <w:p w14:paraId="4F6B728A" w14:textId="77777777" w:rsidR="00381250" w:rsidRDefault="00381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color w:val="2B579A"/>
        <w:sz w:val="16"/>
        <w:szCs w:val="16"/>
        <w:shd w:val="clear" w:color="auto" w:fill="E6E6E6"/>
      </w:rPr>
      <w:fldChar w:fldCharType="begin"/>
    </w:r>
    <w:r w:rsidRPr="00B02F11">
      <w:rPr>
        <w:rFonts w:ascii="Arial" w:hAnsi="Arial" w:cs="Arial"/>
        <w:sz w:val="16"/>
        <w:szCs w:val="16"/>
      </w:rPr>
      <w:instrText>PAGE   \* MERGEFORMAT</w:instrText>
    </w:r>
    <w:r w:rsidRPr="00B02F11">
      <w:rPr>
        <w:rFonts w:ascii="Arial" w:hAnsi="Arial" w:cs="Arial"/>
        <w:color w:val="2B579A"/>
        <w:sz w:val="16"/>
        <w:szCs w:val="16"/>
        <w:shd w:val="clear" w:color="auto" w:fill="E6E6E6"/>
      </w:rPr>
      <w:fldChar w:fldCharType="separate"/>
    </w:r>
    <w:r>
      <w:rPr>
        <w:rFonts w:ascii="Arial" w:hAnsi="Arial" w:cs="Arial"/>
        <w:sz w:val="16"/>
        <w:szCs w:val="16"/>
      </w:rPr>
      <w:t>2</w:t>
    </w:r>
    <w:r w:rsidRPr="00B02F11">
      <w:rPr>
        <w:rFonts w:ascii="Arial" w:hAnsi="Arial" w:cs="Arial"/>
        <w:color w:val="2B579A"/>
        <w:sz w:val="16"/>
        <w:szCs w:val="16"/>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color w:val="2B579A"/>
        <w:sz w:val="16"/>
        <w:szCs w:val="16"/>
        <w:shd w:val="clear" w:color="auto" w:fill="E6E6E6"/>
      </w:rPr>
      <w:fldChar w:fldCharType="begin"/>
    </w:r>
    <w:r w:rsidRPr="00B02F11">
      <w:rPr>
        <w:rFonts w:ascii="Arial" w:hAnsi="Arial" w:cs="Arial"/>
        <w:sz w:val="16"/>
        <w:szCs w:val="16"/>
      </w:rPr>
      <w:instrText>PAGE   \* MERGEFORMAT</w:instrText>
    </w:r>
    <w:r w:rsidRPr="00B02F11">
      <w:rPr>
        <w:rFonts w:ascii="Arial" w:hAnsi="Arial" w:cs="Arial"/>
        <w:color w:val="2B579A"/>
        <w:sz w:val="16"/>
        <w:szCs w:val="16"/>
        <w:shd w:val="clear" w:color="auto" w:fill="E6E6E6"/>
      </w:rPr>
      <w:fldChar w:fldCharType="separate"/>
    </w:r>
    <w:r>
      <w:rPr>
        <w:rFonts w:ascii="Arial" w:hAnsi="Arial" w:cs="Arial"/>
        <w:sz w:val="16"/>
        <w:szCs w:val="16"/>
      </w:rPr>
      <w:t>1</w:t>
    </w:r>
    <w:r w:rsidRPr="00B02F11">
      <w:rPr>
        <w:rFonts w:ascii="Arial" w:hAnsi="Arial" w:cs="Arial"/>
        <w:color w:val="2B579A"/>
        <w:sz w:val="16"/>
        <w:szCs w:val="16"/>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1DD767" w14:textId="77777777" w:rsidR="00381250" w:rsidRDefault="00381250">
      <w:r>
        <w:separator/>
      </w:r>
    </w:p>
  </w:footnote>
  <w:footnote w:type="continuationSeparator" w:id="0">
    <w:p w14:paraId="5B114D02" w14:textId="77777777" w:rsidR="00381250" w:rsidRDefault="00381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D55DE9"/>
  <w:p w14:paraId="68F710B3" w14:textId="77777777" w:rsidR="009D77BA" w:rsidRDefault="00D55DE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26B59404" w:rsidR="008C3FA9" w:rsidRDefault="000A6471" w:rsidP="00581D96">
    <w:pPr>
      <w:pStyle w:val="NurText"/>
      <w:spacing w:line="360" w:lineRule="auto"/>
      <w:jc w:val="right"/>
      <w:rPr>
        <w:rFonts w:ascii="Verdana" w:eastAsia="MS Mincho" w:hAnsi="Verdana" w:cs="Arial"/>
      </w:rPr>
    </w:pPr>
    <w:r>
      <w:rPr>
        <w:noProof/>
      </w:rPr>
      <w:drawing>
        <wp:inline distT="0" distB="0" distL="0" distR="0" wp14:anchorId="20043FBE" wp14:editId="5E0E206A">
          <wp:extent cx="1000760" cy="267335"/>
          <wp:effectExtent l="0" t="0" r="8890" b="0"/>
          <wp:docPr id="1" name="Grafik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JULIUS BLUM GmbH, 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071DD"/>
    <w:rsid w:val="00012040"/>
    <w:rsid w:val="00014D17"/>
    <w:rsid w:val="00020D16"/>
    <w:rsid w:val="0002156B"/>
    <w:rsid w:val="00043E34"/>
    <w:rsid w:val="00052FFD"/>
    <w:rsid w:val="00066376"/>
    <w:rsid w:val="00072927"/>
    <w:rsid w:val="000A6471"/>
    <w:rsid w:val="000C3647"/>
    <w:rsid w:val="000C5421"/>
    <w:rsid w:val="000C7E21"/>
    <w:rsid w:val="000D674F"/>
    <w:rsid w:val="000E31DD"/>
    <w:rsid w:val="000E5770"/>
    <w:rsid w:val="000F0B78"/>
    <w:rsid w:val="00106442"/>
    <w:rsid w:val="00111B09"/>
    <w:rsid w:val="00114FB9"/>
    <w:rsid w:val="00115ADA"/>
    <w:rsid w:val="00116725"/>
    <w:rsid w:val="0012215D"/>
    <w:rsid w:val="0013312A"/>
    <w:rsid w:val="001414C9"/>
    <w:rsid w:val="00154180"/>
    <w:rsid w:val="00155ADC"/>
    <w:rsid w:val="0016120E"/>
    <w:rsid w:val="00177372"/>
    <w:rsid w:val="00182BFF"/>
    <w:rsid w:val="00183A51"/>
    <w:rsid w:val="00186C75"/>
    <w:rsid w:val="00194E99"/>
    <w:rsid w:val="001A020F"/>
    <w:rsid w:val="001B1042"/>
    <w:rsid w:val="001C2D3F"/>
    <w:rsid w:val="001E0D43"/>
    <w:rsid w:val="001F0644"/>
    <w:rsid w:val="001F0C33"/>
    <w:rsid w:val="0020782F"/>
    <w:rsid w:val="0022113D"/>
    <w:rsid w:val="00227496"/>
    <w:rsid w:val="002312A8"/>
    <w:rsid w:val="00242C47"/>
    <w:rsid w:val="00255C96"/>
    <w:rsid w:val="0026566D"/>
    <w:rsid w:val="00267D93"/>
    <w:rsid w:val="00274F91"/>
    <w:rsid w:val="00292FF4"/>
    <w:rsid w:val="00293B2D"/>
    <w:rsid w:val="00295760"/>
    <w:rsid w:val="00296257"/>
    <w:rsid w:val="002A5DF4"/>
    <w:rsid w:val="002C7A0B"/>
    <w:rsid w:val="002D221C"/>
    <w:rsid w:val="002D4304"/>
    <w:rsid w:val="002E13F9"/>
    <w:rsid w:val="002F6405"/>
    <w:rsid w:val="0030113C"/>
    <w:rsid w:val="00306526"/>
    <w:rsid w:val="003068E9"/>
    <w:rsid w:val="0030757D"/>
    <w:rsid w:val="00307BA7"/>
    <w:rsid w:val="003231A1"/>
    <w:rsid w:val="0032384D"/>
    <w:rsid w:val="00323B71"/>
    <w:rsid w:val="00334792"/>
    <w:rsid w:val="003374B3"/>
    <w:rsid w:val="003458C9"/>
    <w:rsid w:val="00347E7E"/>
    <w:rsid w:val="00356B29"/>
    <w:rsid w:val="003632EF"/>
    <w:rsid w:val="00371550"/>
    <w:rsid w:val="00371C1F"/>
    <w:rsid w:val="0037582D"/>
    <w:rsid w:val="00380C37"/>
    <w:rsid w:val="00381250"/>
    <w:rsid w:val="00391348"/>
    <w:rsid w:val="003A4DAE"/>
    <w:rsid w:val="003B6DB6"/>
    <w:rsid w:val="003D4E2F"/>
    <w:rsid w:val="003D60C9"/>
    <w:rsid w:val="003D6EF3"/>
    <w:rsid w:val="003E09CD"/>
    <w:rsid w:val="003E4D7D"/>
    <w:rsid w:val="003F4300"/>
    <w:rsid w:val="003F7E05"/>
    <w:rsid w:val="0040104C"/>
    <w:rsid w:val="0041389F"/>
    <w:rsid w:val="0041486F"/>
    <w:rsid w:val="0042433F"/>
    <w:rsid w:val="00444A2F"/>
    <w:rsid w:val="00444C59"/>
    <w:rsid w:val="00445994"/>
    <w:rsid w:val="004505D4"/>
    <w:rsid w:val="00450755"/>
    <w:rsid w:val="00472107"/>
    <w:rsid w:val="004747EA"/>
    <w:rsid w:val="004748C1"/>
    <w:rsid w:val="00475633"/>
    <w:rsid w:val="00477F8E"/>
    <w:rsid w:val="004A426E"/>
    <w:rsid w:val="004A63E3"/>
    <w:rsid w:val="004B1F9F"/>
    <w:rsid w:val="004B432E"/>
    <w:rsid w:val="004C0636"/>
    <w:rsid w:val="004C27D6"/>
    <w:rsid w:val="004D05F4"/>
    <w:rsid w:val="004D33B2"/>
    <w:rsid w:val="004D402A"/>
    <w:rsid w:val="004D66B6"/>
    <w:rsid w:val="004D778B"/>
    <w:rsid w:val="004F13D7"/>
    <w:rsid w:val="004F2D9B"/>
    <w:rsid w:val="004F2F3F"/>
    <w:rsid w:val="00506D09"/>
    <w:rsid w:val="00506DBB"/>
    <w:rsid w:val="005279BC"/>
    <w:rsid w:val="0053381B"/>
    <w:rsid w:val="005339AB"/>
    <w:rsid w:val="005418A1"/>
    <w:rsid w:val="00541932"/>
    <w:rsid w:val="005460C6"/>
    <w:rsid w:val="00562C4C"/>
    <w:rsid w:val="00563402"/>
    <w:rsid w:val="00577246"/>
    <w:rsid w:val="00585F61"/>
    <w:rsid w:val="00595CFF"/>
    <w:rsid w:val="00597599"/>
    <w:rsid w:val="005A26FF"/>
    <w:rsid w:val="005A3B5B"/>
    <w:rsid w:val="005C1717"/>
    <w:rsid w:val="005C5B87"/>
    <w:rsid w:val="005E0F79"/>
    <w:rsid w:val="005F600E"/>
    <w:rsid w:val="0060258D"/>
    <w:rsid w:val="00612FEE"/>
    <w:rsid w:val="00625F2F"/>
    <w:rsid w:val="0063262E"/>
    <w:rsid w:val="00632640"/>
    <w:rsid w:val="00634011"/>
    <w:rsid w:val="00634C9F"/>
    <w:rsid w:val="0064533E"/>
    <w:rsid w:val="00645DD9"/>
    <w:rsid w:val="0067478D"/>
    <w:rsid w:val="00677075"/>
    <w:rsid w:val="006C1B62"/>
    <w:rsid w:val="006C72DA"/>
    <w:rsid w:val="006D0C88"/>
    <w:rsid w:val="006E4FCE"/>
    <w:rsid w:val="0070195E"/>
    <w:rsid w:val="007210F5"/>
    <w:rsid w:val="00727CD0"/>
    <w:rsid w:val="00730A79"/>
    <w:rsid w:val="0074066F"/>
    <w:rsid w:val="0074216E"/>
    <w:rsid w:val="00762836"/>
    <w:rsid w:val="00793F68"/>
    <w:rsid w:val="00794BDA"/>
    <w:rsid w:val="007956F4"/>
    <w:rsid w:val="007A1D57"/>
    <w:rsid w:val="007A2F4E"/>
    <w:rsid w:val="007E2B84"/>
    <w:rsid w:val="007E2E33"/>
    <w:rsid w:val="007E432A"/>
    <w:rsid w:val="007F09CD"/>
    <w:rsid w:val="007F3724"/>
    <w:rsid w:val="007F39EB"/>
    <w:rsid w:val="007F5A26"/>
    <w:rsid w:val="007F5A72"/>
    <w:rsid w:val="00800B83"/>
    <w:rsid w:val="008040DE"/>
    <w:rsid w:val="0082280F"/>
    <w:rsid w:val="00827D4C"/>
    <w:rsid w:val="008555C2"/>
    <w:rsid w:val="00870D17"/>
    <w:rsid w:val="008734F9"/>
    <w:rsid w:val="0087534B"/>
    <w:rsid w:val="00880889"/>
    <w:rsid w:val="00891B4B"/>
    <w:rsid w:val="00895DB5"/>
    <w:rsid w:val="008A22FC"/>
    <w:rsid w:val="008B5981"/>
    <w:rsid w:val="008C3070"/>
    <w:rsid w:val="00910C1C"/>
    <w:rsid w:val="00916769"/>
    <w:rsid w:val="00923FDB"/>
    <w:rsid w:val="0092789B"/>
    <w:rsid w:val="0093068E"/>
    <w:rsid w:val="00941FED"/>
    <w:rsid w:val="00942E4D"/>
    <w:rsid w:val="00943E0D"/>
    <w:rsid w:val="009518AB"/>
    <w:rsid w:val="00960AEE"/>
    <w:rsid w:val="0096179D"/>
    <w:rsid w:val="00964E02"/>
    <w:rsid w:val="00967412"/>
    <w:rsid w:val="00976D0A"/>
    <w:rsid w:val="00982058"/>
    <w:rsid w:val="00982345"/>
    <w:rsid w:val="00990212"/>
    <w:rsid w:val="00990B4E"/>
    <w:rsid w:val="00992BC1"/>
    <w:rsid w:val="009959D0"/>
    <w:rsid w:val="009C50D0"/>
    <w:rsid w:val="009C6B2D"/>
    <w:rsid w:val="009D07E4"/>
    <w:rsid w:val="009D1C99"/>
    <w:rsid w:val="009E1B08"/>
    <w:rsid w:val="009E228D"/>
    <w:rsid w:val="009E6B05"/>
    <w:rsid w:val="009F191B"/>
    <w:rsid w:val="00A15789"/>
    <w:rsid w:val="00A16004"/>
    <w:rsid w:val="00A17749"/>
    <w:rsid w:val="00A312EB"/>
    <w:rsid w:val="00A32846"/>
    <w:rsid w:val="00A44E9B"/>
    <w:rsid w:val="00A57175"/>
    <w:rsid w:val="00A61097"/>
    <w:rsid w:val="00A769DF"/>
    <w:rsid w:val="00A8127F"/>
    <w:rsid w:val="00A879DB"/>
    <w:rsid w:val="00A911BA"/>
    <w:rsid w:val="00AA01BF"/>
    <w:rsid w:val="00AA3BAC"/>
    <w:rsid w:val="00AB69C2"/>
    <w:rsid w:val="00AC4931"/>
    <w:rsid w:val="00AC6416"/>
    <w:rsid w:val="00AC7F64"/>
    <w:rsid w:val="00AF3BB0"/>
    <w:rsid w:val="00B12054"/>
    <w:rsid w:val="00B1322C"/>
    <w:rsid w:val="00B13F47"/>
    <w:rsid w:val="00B15A7A"/>
    <w:rsid w:val="00B16B31"/>
    <w:rsid w:val="00B16CD7"/>
    <w:rsid w:val="00B3798D"/>
    <w:rsid w:val="00B74166"/>
    <w:rsid w:val="00B914DC"/>
    <w:rsid w:val="00BA5270"/>
    <w:rsid w:val="00BA5610"/>
    <w:rsid w:val="00BC39FA"/>
    <w:rsid w:val="00BD57AB"/>
    <w:rsid w:val="00BD6FA5"/>
    <w:rsid w:val="00BE0218"/>
    <w:rsid w:val="00BF0586"/>
    <w:rsid w:val="00C058B4"/>
    <w:rsid w:val="00C12EF5"/>
    <w:rsid w:val="00C1454C"/>
    <w:rsid w:val="00C27CB9"/>
    <w:rsid w:val="00C31F94"/>
    <w:rsid w:val="00C53181"/>
    <w:rsid w:val="00C8387A"/>
    <w:rsid w:val="00C86E35"/>
    <w:rsid w:val="00C962B6"/>
    <w:rsid w:val="00C97BD4"/>
    <w:rsid w:val="00CA638F"/>
    <w:rsid w:val="00CB3297"/>
    <w:rsid w:val="00CB6416"/>
    <w:rsid w:val="00CE4E86"/>
    <w:rsid w:val="00CE5DD9"/>
    <w:rsid w:val="00CF24B9"/>
    <w:rsid w:val="00D02A4A"/>
    <w:rsid w:val="00D210A4"/>
    <w:rsid w:val="00D30D04"/>
    <w:rsid w:val="00D31B48"/>
    <w:rsid w:val="00D36C47"/>
    <w:rsid w:val="00D4455C"/>
    <w:rsid w:val="00D51344"/>
    <w:rsid w:val="00D51346"/>
    <w:rsid w:val="00D55DE9"/>
    <w:rsid w:val="00D609D5"/>
    <w:rsid w:val="00D67F99"/>
    <w:rsid w:val="00D770EB"/>
    <w:rsid w:val="00D81003"/>
    <w:rsid w:val="00D85D13"/>
    <w:rsid w:val="00D93CFF"/>
    <w:rsid w:val="00DA633D"/>
    <w:rsid w:val="00DB0514"/>
    <w:rsid w:val="00DB24EC"/>
    <w:rsid w:val="00DB4626"/>
    <w:rsid w:val="00DB737F"/>
    <w:rsid w:val="00DC539A"/>
    <w:rsid w:val="00DD7EC6"/>
    <w:rsid w:val="00DE7A3E"/>
    <w:rsid w:val="00E00316"/>
    <w:rsid w:val="00E0238D"/>
    <w:rsid w:val="00E12E59"/>
    <w:rsid w:val="00E26581"/>
    <w:rsid w:val="00E27BDA"/>
    <w:rsid w:val="00E30773"/>
    <w:rsid w:val="00E55080"/>
    <w:rsid w:val="00E6102F"/>
    <w:rsid w:val="00E627BD"/>
    <w:rsid w:val="00E66B41"/>
    <w:rsid w:val="00E72CB0"/>
    <w:rsid w:val="00E73986"/>
    <w:rsid w:val="00E914B3"/>
    <w:rsid w:val="00E96D3D"/>
    <w:rsid w:val="00E9750E"/>
    <w:rsid w:val="00EA252E"/>
    <w:rsid w:val="00EA5436"/>
    <w:rsid w:val="00EC1837"/>
    <w:rsid w:val="00EC3579"/>
    <w:rsid w:val="00ED4C16"/>
    <w:rsid w:val="00ED6D5D"/>
    <w:rsid w:val="00EE3BDA"/>
    <w:rsid w:val="00EE3CD6"/>
    <w:rsid w:val="00EE4FAD"/>
    <w:rsid w:val="00EE5949"/>
    <w:rsid w:val="00EE790E"/>
    <w:rsid w:val="00EF5E49"/>
    <w:rsid w:val="00F034A5"/>
    <w:rsid w:val="00F05EA9"/>
    <w:rsid w:val="00F239CE"/>
    <w:rsid w:val="00F40E8E"/>
    <w:rsid w:val="00F532D3"/>
    <w:rsid w:val="00F533A7"/>
    <w:rsid w:val="00F649A7"/>
    <w:rsid w:val="00F73F4D"/>
    <w:rsid w:val="00F83BC3"/>
    <w:rsid w:val="00FA24D0"/>
    <w:rsid w:val="00FA30AC"/>
    <w:rsid w:val="00FC4915"/>
    <w:rsid w:val="00FD6C5A"/>
    <w:rsid w:val="00FE2B5E"/>
    <w:rsid w:val="00FE59E9"/>
    <w:rsid w:val="00FF0C00"/>
    <w:rsid w:val="00FF4AFA"/>
    <w:rsid w:val="018799B5"/>
    <w:rsid w:val="0C1B5567"/>
    <w:rsid w:val="1082E91D"/>
    <w:rsid w:val="115DE374"/>
    <w:rsid w:val="18C9E02C"/>
    <w:rsid w:val="1CCDF6AF"/>
    <w:rsid w:val="1CED830D"/>
    <w:rsid w:val="1F03AD61"/>
    <w:rsid w:val="206488BA"/>
    <w:rsid w:val="2DCCFD1E"/>
    <w:rsid w:val="32047458"/>
    <w:rsid w:val="3877935C"/>
    <w:rsid w:val="38F78FA0"/>
    <w:rsid w:val="3D29462A"/>
    <w:rsid w:val="4DE1B0E7"/>
    <w:rsid w:val="52A15B81"/>
    <w:rsid w:val="555FBFCE"/>
    <w:rsid w:val="651DC092"/>
    <w:rsid w:val="681D871B"/>
    <w:rsid w:val="750CF8F0"/>
    <w:rsid w:val="79CE58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 w:type="character" w:styleId="Erwhnung">
    <w:name w:val="Mention"/>
    <w:basedOn w:val="Absatz-Standardschriftart"/>
    <w:uiPriority w:val="99"/>
    <w:unhideWhenUsed/>
    <w:rPr>
      <w:color w:val="2B579A"/>
      <w:shd w:val="clear" w:color="auto" w:fill="E6E6E6"/>
    </w:rPr>
  </w:style>
  <w:style w:type="paragraph" w:styleId="Kopfzeile">
    <w:name w:val="header"/>
    <w:basedOn w:val="Standard"/>
    <w:link w:val="KopfzeileZchn"/>
    <w:uiPriority w:val="99"/>
    <w:unhideWhenUsed/>
    <w:rsid w:val="00634C9F"/>
    <w:pPr>
      <w:tabs>
        <w:tab w:val="center" w:pos="4536"/>
        <w:tab w:val="right" w:pos="9072"/>
      </w:tabs>
    </w:pPr>
  </w:style>
  <w:style w:type="character" w:customStyle="1" w:styleId="KopfzeileZchn">
    <w:name w:val="Kopfzeile Zchn"/>
    <w:basedOn w:val="Absatz-Standardschriftart"/>
    <w:link w:val="Kopfzeile"/>
    <w:uiPriority w:val="99"/>
    <w:rsid w:val="00634C9F"/>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1263967">
      <w:bodyDiv w:val="1"/>
      <w:marLeft w:val="0"/>
      <w:marRight w:val="0"/>
      <w:marTop w:val="0"/>
      <w:marBottom w:val="0"/>
      <w:divBdr>
        <w:top w:val="none" w:sz="0" w:space="0" w:color="auto"/>
        <w:left w:val="none" w:sz="0" w:space="0" w:color="auto"/>
        <w:bottom w:val="none" w:sz="0" w:space="0" w:color="auto"/>
        <w:right w:val="none" w:sz="0" w:space="0" w:color="auto"/>
      </w:divBdr>
      <w:divsChild>
        <w:div w:id="944733292">
          <w:marLeft w:val="288"/>
          <w:marRight w:val="0"/>
          <w:marTop w:val="0"/>
          <w:marBottom w:val="80"/>
          <w:divBdr>
            <w:top w:val="none" w:sz="0" w:space="0" w:color="auto"/>
            <w:left w:val="none" w:sz="0" w:space="0" w:color="auto"/>
            <w:bottom w:val="none" w:sz="0" w:space="0" w:color="auto"/>
            <w:right w:val="none" w:sz="0" w:space="0" w:color="auto"/>
          </w:divBdr>
        </w:div>
        <w:div w:id="2113671827">
          <w:marLeft w:val="288"/>
          <w:marRight w:val="0"/>
          <w:marTop w:val="0"/>
          <w:marBottom w:val="80"/>
          <w:divBdr>
            <w:top w:val="none" w:sz="0" w:space="0" w:color="auto"/>
            <w:left w:val="none" w:sz="0" w:space="0" w:color="auto"/>
            <w:bottom w:val="none" w:sz="0" w:space="0" w:color="auto"/>
            <w:right w:val="none" w:sz="0" w:space="0" w:color="auto"/>
          </w:divBdr>
        </w:div>
        <w:div w:id="812529185">
          <w:marLeft w:val="288"/>
          <w:marRight w:val="0"/>
          <w:marTop w:val="0"/>
          <w:marBottom w:val="80"/>
          <w:divBdr>
            <w:top w:val="none" w:sz="0" w:space="0" w:color="auto"/>
            <w:left w:val="none" w:sz="0" w:space="0" w:color="auto"/>
            <w:bottom w:val="none" w:sz="0" w:space="0" w:color="auto"/>
            <w:right w:val="none" w:sz="0" w:space="0" w:color="auto"/>
          </w:divBdr>
        </w:div>
        <w:div w:id="1513379324">
          <w:marLeft w:val="288"/>
          <w:marRight w:val="0"/>
          <w:marTop w:val="0"/>
          <w:marBottom w:val="80"/>
          <w:divBdr>
            <w:top w:val="none" w:sz="0" w:space="0" w:color="auto"/>
            <w:left w:val="none" w:sz="0" w:space="0" w:color="auto"/>
            <w:bottom w:val="none" w:sz="0" w:space="0" w:color="auto"/>
            <w:right w:val="none" w:sz="0" w:space="0" w:color="auto"/>
          </w:divBdr>
        </w:div>
      </w:divsChild>
    </w:div>
    <w:div w:id="1170414164">
      <w:bodyDiv w:val="1"/>
      <w:marLeft w:val="0"/>
      <w:marRight w:val="0"/>
      <w:marTop w:val="0"/>
      <w:marBottom w:val="0"/>
      <w:divBdr>
        <w:top w:val="none" w:sz="0" w:space="0" w:color="auto"/>
        <w:left w:val="none" w:sz="0" w:space="0" w:color="auto"/>
        <w:bottom w:val="none" w:sz="0" w:space="0" w:color="auto"/>
        <w:right w:val="none" w:sz="0" w:space="0" w:color="auto"/>
      </w:divBdr>
      <w:divsChild>
        <w:div w:id="222907123">
          <w:marLeft w:val="288"/>
          <w:marRight w:val="0"/>
          <w:marTop w:val="0"/>
          <w:marBottom w:val="80"/>
          <w:divBdr>
            <w:top w:val="none" w:sz="0" w:space="0" w:color="auto"/>
            <w:left w:val="none" w:sz="0" w:space="0" w:color="auto"/>
            <w:bottom w:val="none" w:sz="0" w:space="0" w:color="auto"/>
            <w:right w:val="none" w:sz="0" w:space="0" w:color="auto"/>
          </w:divBdr>
        </w:div>
        <w:div w:id="2037271288">
          <w:marLeft w:val="288"/>
          <w:marRight w:val="0"/>
          <w:marTop w:val="0"/>
          <w:marBottom w:val="80"/>
          <w:divBdr>
            <w:top w:val="none" w:sz="0" w:space="0" w:color="auto"/>
            <w:left w:val="none" w:sz="0" w:space="0" w:color="auto"/>
            <w:bottom w:val="none" w:sz="0" w:space="0" w:color="auto"/>
            <w:right w:val="none" w:sz="0" w:space="0" w:color="auto"/>
          </w:divBdr>
        </w:div>
        <w:div w:id="242568644">
          <w:marLeft w:val="288"/>
          <w:marRight w:val="0"/>
          <w:marTop w:val="0"/>
          <w:marBottom w:val="80"/>
          <w:divBdr>
            <w:top w:val="none" w:sz="0" w:space="0" w:color="auto"/>
            <w:left w:val="none" w:sz="0" w:space="0" w:color="auto"/>
            <w:bottom w:val="none" w:sz="0" w:space="0" w:color="auto"/>
            <w:right w:val="none" w:sz="0" w:space="0" w:color="auto"/>
          </w:divBdr>
        </w:div>
        <w:div w:id="1058674391">
          <w:marLeft w:val="288"/>
          <w:marRight w:val="0"/>
          <w:marTop w:val="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BlumPresse" TargetMode="External"/><Relationship Id="rId18" Type="http://schemas.openxmlformats.org/officeDocument/2006/relationships/image" Target="media/image5.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blum.com/at/de/unternehmen/presse/" TargetMode="Externa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www.linkedin.com/company/julius-blum-gmbh"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mailto:presseinfo@blum.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lum.com"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youtube.com/user/JuliusBlumGmbH" TargetMode="External"/><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6.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Ramona Gasser</DisplayName>
        <AccountId>83</AccountId>
        <AccountType/>
      </UserInfo>
      <UserInfo>
        <DisplayName>Nina Huemer</DisplayName>
        <AccountId>85</AccountId>
        <AccountType/>
      </UserInfo>
      <UserInfo>
        <DisplayName>Patrick Fussenegger</DisplayName>
        <AccountId>15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2D66AB-B039-4CAF-95A5-409579BDE61D}">
  <ds:schemaRefs>
    <ds:schemaRef ds:uri="http://schemas.microsoft.com/sharepoint/v3/contenttype/forms"/>
  </ds:schemaRefs>
</ds:datastoreItem>
</file>

<file path=customXml/itemProps2.xml><?xml version="1.0" encoding="utf-8"?>
<ds:datastoreItem xmlns:ds="http://schemas.openxmlformats.org/officeDocument/2006/customXml" ds:itemID="{DEAEC04B-44E5-4F38-BB11-0A46CA1A9BFD}">
  <ds:schemaRefs>
    <ds:schemaRef ds:uri="http://schemas.microsoft.com/office/2006/metadata/properties"/>
    <ds:schemaRef ds:uri="http://schemas.microsoft.com/office/infopath/2007/PartnerControls"/>
    <ds:schemaRef ds:uri="4772dd7f-e84b-4eb8-8e2d-3d5b44201ffb"/>
  </ds:schemaRefs>
</ds:datastoreItem>
</file>

<file path=customXml/itemProps3.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582</Words>
  <Characters>3673</Characters>
  <Application>Microsoft Office Word</Application>
  <DocSecurity>0</DocSecurity>
  <Lines>30</Lines>
  <Paragraphs>8</Paragraphs>
  <ScaleCrop>false</ScaleCrop>
  <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247</cp:revision>
  <cp:lastPrinted>2019-02-22T10:47:00Z</cp:lastPrinted>
  <dcterms:created xsi:type="dcterms:W3CDTF">2019-02-27T15:27:00Z</dcterms:created>
  <dcterms:modified xsi:type="dcterms:W3CDTF">2019-05-08T07:29:00Z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5120">
    <vt:lpwstr>34</vt:lpwstr>
  </property>
</Properties>
</file>